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472E2" w14:textId="77777777" w:rsidR="009F35F9" w:rsidRDefault="009F35F9" w:rsidP="009F35F9">
      <w:pPr>
        <w:jc w:val="both"/>
      </w:pPr>
      <w:r>
        <w:t>Wypełniając dyspozycję art. 14 ust 1 i 2 rozporządzenia Parlamentu Europejskiego i Rady (UE) 2016/679 z dnia 27 kwietnia 2016 r. w sprawie ochrony osób fizycznych w związku z przetwarzaniem danych osobowych i w sprawie swobodnego przepływu takich danych oraz uchylenia dyrektywy 95/46/WE (dalej jako: RODO) niniejszym informujemy o zasadach przetwarzania danych osobowych dłużników funduszy sekurytyzacyjnych zarządzanych przez EQUES Investment TFI S.A..</w:t>
      </w:r>
    </w:p>
    <w:p w14:paraId="3B181A86" w14:textId="77777777" w:rsidR="009F35F9" w:rsidRDefault="009F35F9" w:rsidP="009F35F9">
      <w:pPr>
        <w:jc w:val="both"/>
      </w:pPr>
      <w:r>
        <w:t>Administratorem danych osobowych jest dany fundusz inwestycyjny z siedzibą w Gdańsku, adres: ul. Chłopska 53, 80-350 Gdańsk, zarządzany przez EQUES Investment Towarzystwo Funduszy Inwestycyjnych S.A., którym może być:</w:t>
      </w:r>
    </w:p>
    <w:p w14:paraId="26BE5907" w14:textId="77777777" w:rsidR="009F35F9" w:rsidRDefault="009F35F9" w:rsidP="009F35F9">
      <w:pPr>
        <w:jc w:val="both"/>
      </w:pPr>
      <w:r>
        <w:t>- EQUES DEBITUM Fundusz Inwestycyjny Zamknięty Niestandaryzowany Fundusz Wierzytelności;</w:t>
      </w:r>
    </w:p>
    <w:p w14:paraId="6F6A2CEB" w14:textId="77777777" w:rsidR="009F35F9" w:rsidRDefault="009F35F9" w:rsidP="009F35F9">
      <w:pPr>
        <w:jc w:val="both"/>
      </w:pPr>
      <w:r>
        <w:t>- EQUES DEBITUM 2 Fundusz Inwestycyjny Zamknięty Niestandaryzowany Fundusz Wierzytelności;</w:t>
      </w:r>
    </w:p>
    <w:p w14:paraId="574A293B" w14:textId="77777777" w:rsidR="009F35F9" w:rsidRDefault="009F35F9" w:rsidP="009F35F9">
      <w:pPr>
        <w:jc w:val="both"/>
      </w:pPr>
      <w:r>
        <w:t>- EQUES CREDITUM Fundusz Inwestycyjny Zamknięty Niestandaryzowany Fundusz Wierzytelności;</w:t>
      </w:r>
    </w:p>
    <w:p w14:paraId="531CB1FF" w14:textId="77777777" w:rsidR="009F35F9" w:rsidRDefault="009F35F9" w:rsidP="009F35F9">
      <w:pPr>
        <w:jc w:val="both"/>
      </w:pPr>
      <w:r>
        <w:t>- EQUES Pożyczek Dywidendowy Fundusz Inwestycyjny Zamknięty Niestandaryzowany Fundusz Wierzytelności;</w:t>
      </w:r>
    </w:p>
    <w:p w14:paraId="0EE55D41" w14:textId="77777777" w:rsidR="009F35F9" w:rsidRDefault="009F35F9" w:rsidP="009F35F9">
      <w:pPr>
        <w:jc w:val="both"/>
      </w:pPr>
      <w:r>
        <w:t xml:space="preserve">- </w:t>
      </w:r>
      <w:r w:rsidRPr="004D0FB1">
        <w:t>VPF III Fundusz Inwestycyjny Zamknięty Niestandaryzowany Fundusz Wierzytelności</w:t>
      </w:r>
      <w:r>
        <w:t>.</w:t>
      </w:r>
    </w:p>
    <w:p w14:paraId="10374362" w14:textId="77777777" w:rsidR="009F35F9" w:rsidRDefault="009F35F9" w:rsidP="009F35F9">
      <w:pPr>
        <w:jc w:val="both"/>
      </w:pPr>
      <w:r>
        <w:t>Szczegółowa informacja na temat danego Administratora danych (obecnego wierzyciela) jest przekazywana dłużnikowi w zawiadomieniu o cesji wierzytelności.</w:t>
      </w:r>
    </w:p>
    <w:p w14:paraId="3320C5FE" w14:textId="77777777" w:rsidR="009F35F9" w:rsidRDefault="009F35F9" w:rsidP="009F35F9">
      <w:pPr>
        <w:jc w:val="both"/>
      </w:pPr>
      <w:r>
        <w:t>Administrator otrzymał dane osobowe od poprzedniego wierzyciela, którym mógł być np. fundusz sekurytyzacyjny, firma pożyczkowa lub firma telekomunikacyjna, na skutek zawarcia z tym podmiotem umowy cesji wierzytelności wynikających z zawartej przez dłużnika umowy.</w:t>
      </w:r>
    </w:p>
    <w:p w14:paraId="0B586E61" w14:textId="77777777" w:rsidR="009F35F9" w:rsidRDefault="009F35F9" w:rsidP="009F35F9">
      <w:pPr>
        <w:jc w:val="both"/>
      </w:pPr>
      <w:r>
        <w:t xml:space="preserve">Ponadto informujemy, że aktualizujemy i uzupełniamy dane osobowe w oparciu o informacje, które uzyskujemy bezpośrednio od Pani/Pana a także z publicznie dostępnych źródeł, takich jak w  szczególności KRS, </w:t>
      </w:r>
      <w:proofErr w:type="spellStart"/>
      <w:r>
        <w:t>CEiDG</w:t>
      </w:r>
      <w:proofErr w:type="spellEnd"/>
      <w:r>
        <w:t>, biura numerów telefonicznych, jak również od firm świadczących usługi ustalania, uzupełniania i aktualizacji danych teleadresowych, świadczących usługi detektywistyczne oraz innych podmiotów wspomagających nas w procesie windykacji. W przypadku, gdy zostało wszczęte lub toczyło się postępowanie egzekucyjne dotyczące zadłużenia, możemy również uzyskiwać lub aktualizować dane osobowe na podstawie informacji otrzymanych od organów egzekucyjnych, w związku z prowadzonym postępowaniem egzekucyjnym.</w:t>
      </w:r>
    </w:p>
    <w:p w14:paraId="5A8F2F31" w14:textId="77777777" w:rsidR="009F35F9" w:rsidRDefault="009F35F9" w:rsidP="009F35F9">
      <w:pPr>
        <w:jc w:val="both"/>
      </w:pPr>
      <w:r>
        <w:t>Dane osobowe są przetwarzane na podstawie prawnej i w celach:</w:t>
      </w:r>
    </w:p>
    <w:p w14:paraId="42124E3B" w14:textId="77777777" w:rsidR="009F35F9" w:rsidRDefault="009F35F9" w:rsidP="009F35F9">
      <w:pPr>
        <w:jc w:val="both"/>
      </w:pPr>
      <w:r>
        <w:t>a) wykonania zawartej przez dłużnika umowy, w tym szeroko pojętej obsługi zobowiązania (art. 6 ust 1 lit. b RODO),</w:t>
      </w:r>
    </w:p>
    <w:p w14:paraId="535008B2" w14:textId="77777777" w:rsidR="009F35F9" w:rsidRDefault="009F35F9" w:rsidP="009F35F9">
      <w:pPr>
        <w:jc w:val="both"/>
      </w:pPr>
      <w:r>
        <w:t>b) wypełnienia obowiązku prawnego ciążącego na Administratorze (art. 6 ust 1 lit. c RODO), w tym w celach związanych z zarządzaniem wierzytelnościami na podstawie art. 193 ustawy z dnia 27 maja 2004 o funduszach inwestycyjnych i zarządzaniu alternatywnymi funduszami inwestycyjnymi, a także przechowywania informacji dla celów podatkowych i rachunkowych i archiwizacyjnych;</w:t>
      </w:r>
    </w:p>
    <w:p w14:paraId="406A77A5" w14:textId="77777777" w:rsidR="009F35F9" w:rsidRDefault="009F35F9" w:rsidP="009F35F9">
      <w:pPr>
        <w:jc w:val="both"/>
      </w:pPr>
      <w:r>
        <w:t>c) wynikających z prawnie uzasadnionych interesów Administratora (art. 6 ust 1 lit. f RODO), w tym:</w:t>
      </w:r>
    </w:p>
    <w:p w14:paraId="4F7CCCC2" w14:textId="77777777" w:rsidR="009F35F9" w:rsidRDefault="009F35F9" w:rsidP="009F35F9">
      <w:pPr>
        <w:jc w:val="both"/>
      </w:pPr>
      <w:r>
        <w:lastRenderedPageBreak/>
        <w:t>- zarządzania wierzytelnościami, w tym ustalania i dochodzenia roszczeń na drodze polubownej, postępowania sądowego i egzekucyjnego, wyceny i obrotu wierzytelnościami, w zw. z art.193 Ustawy z dnia 27 maja 2004 roku o funduszach inwestycyjnych i zarządzaniu alternatywnymi funduszami inwestycyjnymi,</w:t>
      </w:r>
    </w:p>
    <w:p w14:paraId="01C803D3" w14:textId="77777777" w:rsidR="009F35F9" w:rsidRDefault="009F35F9" w:rsidP="009F35F9">
      <w:pPr>
        <w:jc w:val="both"/>
      </w:pPr>
      <w:r>
        <w:t xml:space="preserve">- uzyskiwania przez Administratora świadczeń z tytułu </w:t>
      </w:r>
      <w:proofErr w:type="spellStart"/>
      <w:r>
        <w:t>sekurytyzowanych</w:t>
      </w:r>
      <w:proofErr w:type="spellEnd"/>
      <w:r>
        <w:t xml:space="preserve"> wierzytelności (w tym na skutek dochodzenia roszczeń z tytułu prowadzonej działalności gospodarczej),</w:t>
      </w:r>
    </w:p>
    <w:p w14:paraId="714764DB" w14:textId="77777777" w:rsidR="009F35F9" w:rsidRDefault="009F35F9" w:rsidP="009F35F9">
      <w:pPr>
        <w:jc w:val="both"/>
      </w:pPr>
      <w:r>
        <w:t>- w celach statystycznych, na potrzeby tworzenia analiz dotyczących dochodzenia wierzytelności,</w:t>
      </w:r>
    </w:p>
    <w:p w14:paraId="5AF51008" w14:textId="77777777" w:rsidR="009F35F9" w:rsidRDefault="009F35F9" w:rsidP="009F35F9">
      <w:pPr>
        <w:jc w:val="both"/>
      </w:pPr>
      <w:r>
        <w:t>- obrony przed roszczeniami kierowanymi wobec Administratora, w tym przed organami ścigania oraz organami administracji publicznej,</w:t>
      </w:r>
    </w:p>
    <w:p w14:paraId="0674F806" w14:textId="77777777" w:rsidR="009F35F9" w:rsidRDefault="009F35F9" w:rsidP="009F35F9">
      <w:pPr>
        <w:jc w:val="both"/>
      </w:pPr>
      <w:r>
        <w:t>- w celu obsługi otrzymanych wniosków, skarg i reklamacji,</w:t>
      </w:r>
    </w:p>
    <w:p w14:paraId="505BADFC" w14:textId="77777777" w:rsidR="009F35F9" w:rsidRDefault="009F35F9" w:rsidP="009F35F9">
      <w:pPr>
        <w:jc w:val="both"/>
      </w:pPr>
      <w:r>
        <w:t>- w celu aktualizacji, uzupełniania danych i dokumentowania informacji udzielonych w trakcie rejestrowanych rozmów telefonicznych dotyczących obsługi wierzytelności. Nagrywanie rozmów telefonicznych wynika z prawnie uzasadnionego interesu Administratora i stosowane jest również w celu podniesienia bezpieczeństwa i poprawy jakości obsługi Klienta.</w:t>
      </w:r>
    </w:p>
    <w:p w14:paraId="682E720A" w14:textId="77777777" w:rsidR="009F35F9" w:rsidRDefault="009F35F9" w:rsidP="009F35F9">
      <w:pPr>
        <w:jc w:val="both"/>
      </w:pPr>
      <w:r>
        <w:t>Odbiorcami danych osobowych mogą być podmioty świadczące usługi kurierskie, dostawcy usług teleinformatycznych, firmy, które zapewniają wsparcie oraz działanie narzędzi i systemów informatycznych Administratora (np. serwisują nasze oprogramowanie), profesjonalni doradcy (np. kancelarie prawne), firmy świadczące na rzecz Administratora usługi księgowe, firmy świadczące usługi audytorskie (np. niezależni biegli rewidenci), biura informacji gospodarczej, firmy świadczące usługi ustalania, uzupełniania i aktualizacji danych teleadresowych oraz inne firmy wspierające nas w procesie windykacji), podmioty, które prowadzą bazy danych w związku z badaniem zdolności kredytowej a także podmioty świadczące usługi skanowania, drukowania, obsługi korespondencji, archiwizowania i niszczenia dokumentów. Odbiorcami mogą być również podmioty, które wskażą odpowiednią podstawę prawną upoważniającą do pozyskania danych osobowych lub dane mogą zostać udostępnione odpowiednim organom prowadzącym postępowanie przygotowawcze, dla celów postępowania sądowego lub dochodzenia roszczeń. W szczególności informujemy, że Administrator danych powierzył przetwarzanie danych osobowych podmiotom zajmującym się na podstawie umowy zawartej z Administratorem zarządzaniem lub administrowaniem sekurytyzowanymi wierzytelnościami Funduszu. Informacja o podmiotach, którym powierzono wykonywanie tych czynności została przekazana dłużnikom wraz z zawiadomieniem o cesji wierzytelności.</w:t>
      </w:r>
    </w:p>
    <w:p w14:paraId="58D9CD23" w14:textId="77777777" w:rsidR="009F35F9" w:rsidRDefault="009F35F9" w:rsidP="009F35F9">
      <w:pPr>
        <w:jc w:val="both"/>
      </w:pPr>
      <w:r>
        <w:t>Administrator może przetwarzać w opisanych wyżej celach następujące kategorie Pani/Pana danych osobowych:</w:t>
      </w:r>
    </w:p>
    <w:p w14:paraId="369F99F2" w14:textId="77777777" w:rsidR="009F35F9" w:rsidRDefault="009F35F9" w:rsidP="009F35F9">
      <w:pPr>
        <w:jc w:val="both"/>
      </w:pPr>
      <w:r>
        <w:t>1) dane identyfikacyjne, w szczególności imię i nazwisko, PESEL, data urodzenia, numer i seria  dokumentu tożsamości;</w:t>
      </w:r>
    </w:p>
    <w:p w14:paraId="23E1B7C6" w14:textId="77777777" w:rsidR="009F35F9" w:rsidRDefault="009F35F9" w:rsidP="009F35F9">
      <w:pPr>
        <w:jc w:val="both"/>
      </w:pPr>
      <w:r>
        <w:t>2) dane teleadresowe, w szczególności nr telefonu, adres e-mail, adres zamieszkania;</w:t>
      </w:r>
    </w:p>
    <w:p w14:paraId="2553FF1F" w14:textId="77777777" w:rsidR="009F35F9" w:rsidRDefault="009F35F9" w:rsidP="009F35F9">
      <w:pPr>
        <w:jc w:val="both"/>
      </w:pPr>
      <w:r>
        <w:lastRenderedPageBreak/>
        <w:t>3) dane dotyczące zadłużenia i jego obsługi, w szczególności datę zawarcia umowy, sposób jej wykonywania, wysokość zadłużenia, terminy spłaty;</w:t>
      </w:r>
    </w:p>
    <w:p w14:paraId="226F1A16" w14:textId="77777777" w:rsidR="009F35F9" w:rsidRDefault="009F35F9" w:rsidP="009F35F9">
      <w:pPr>
        <w:jc w:val="both"/>
      </w:pPr>
      <w:r>
        <w:t>4) dane dotyczące sytuacji materialnej i osobistej, w tym zawodowej i rodzinnej.</w:t>
      </w:r>
    </w:p>
    <w:p w14:paraId="1B487EF5" w14:textId="77777777" w:rsidR="009F35F9" w:rsidRDefault="009F35F9" w:rsidP="009F35F9">
      <w:pPr>
        <w:jc w:val="both"/>
      </w:pPr>
      <w:r>
        <w:t>Dane osobowe są przetwarzane przez okres niezbędny do prawidłowego zarządzania sekurytyzowanymi wierzytelnościami tj. przez okres dochodzenia wierzytelności, ustalania, dochodzenia lub obrony przed roszczeniami, chyba że przepisy prawa (np. księgowe lub podatkowe) będą zobowiązywać Administratora do dłuższego przetwarzania tych danych. W każdym przypadku decyduje dłuższy termin przetwarzania danych.</w:t>
      </w:r>
    </w:p>
    <w:p w14:paraId="473B42FD" w14:textId="77777777" w:rsidR="009F35F9" w:rsidRDefault="009F35F9" w:rsidP="009F35F9">
      <w:pPr>
        <w:jc w:val="both"/>
      </w:pPr>
      <w:r>
        <w:t>Osobom, których dane podlegają przetwarzaniu przysługuje prawo dostępu do danych osobowych, żądania ich sprostowania, a także - w przypadkach przewidzianych przepisami RODO - usunięcia lub ograniczenia przetwarzania, wniesienia sprzeciwu wobec ich przetwarzania, a także prawo do ich przenoszenia.</w:t>
      </w:r>
    </w:p>
    <w:p w14:paraId="4785B069" w14:textId="77777777" w:rsidR="009F35F9" w:rsidRDefault="009F35F9" w:rsidP="009F35F9">
      <w:pPr>
        <w:jc w:val="both"/>
      </w:pPr>
      <w:r>
        <w:t>W przypadku uznania, iż przetwarzanie danych osobowych narusza przepisy prawa ochrony danych osobowych (w szczególności RODO) osobie, której dane dotyczą przysługuje prawo wniesienia skargi do Prezesa Urzędu Ochrony Danych Osobowych.</w:t>
      </w:r>
    </w:p>
    <w:p w14:paraId="6ECD9770" w14:textId="77777777" w:rsidR="009F35F9" w:rsidRDefault="009F35F9" w:rsidP="009F35F9">
      <w:pPr>
        <w:jc w:val="both"/>
      </w:pPr>
      <w:r>
        <w:t>Kontakt z Inspektorem Ochrony Danych w Towarzystwie, p. Maciejem Barszczewskim jest możliwy poprzez skrzynkę e-mail rodo@eitfi.pl.</w:t>
      </w:r>
    </w:p>
    <w:p w14:paraId="6F8B1345" w14:textId="33DA817A" w:rsidR="00766F4D" w:rsidRPr="00B3564B" w:rsidRDefault="00766F4D" w:rsidP="00E47C4A">
      <w:pPr>
        <w:ind w:right="1"/>
        <w:jc w:val="both"/>
        <w:rPr>
          <w:rFonts w:ascii="Arial Narrow" w:hAnsi="Arial Narrow" w:cs="Arial"/>
          <w:sz w:val="20"/>
          <w:szCs w:val="20"/>
        </w:rPr>
      </w:pPr>
    </w:p>
    <w:sectPr w:rsidR="00766F4D" w:rsidRPr="00B3564B" w:rsidSect="005A0D46">
      <w:headerReference w:type="default" r:id="rId8"/>
      <w:headerReference w:type="first" r:id="rId9"/>
      <w:footerReference w:type="first" r:id="rId10"/>
      <w:pgSz w:w="11906" w:h="16838" w:code="9"/>
      <w:pgMar w:top="2552" w:right="851" w:bottom="1985" w:left="851" w:header="1134" w:footer="13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14F2B" w14:textId="77777777" w:rsidR="00015EEE" w:rsidRDefault="00015EEE" w:rsidP="001D63C6">
      <w:pPr>
        <w:spacing w:after="0" w:line="240" w:lineRule="auto"/>
      </w:pPr>
      <w:r>
        <w:separator/>
      </w:r>
    </w:p>
  </w:endnote>
  <w:endnote w:type="continuationSeparator" w:id="0">
    <w:p w14:paraId="6A5DEACE" w14:textId="77777777" w:rsidR="00015EEE" w:rsidRDefault="00015EEE" w:rsidP="001D6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C7884" w14:textId="77777777" w:rsidR="00700324" w:rsidRDefault="00700324" w:rsidP="00B62826">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BC94E" w14:textId="77777777" w:rsidR="00015EEE" w:rsidRDefault="00015EEE" w:rsidP="001D63C6">
      <w:pPr>
        <w:spacing w:after="0" w:line="240" w:lineRule="auto"/>
      </w:pPr>
      <w:r>
        <w:separator/>
      </w:r>
    </w:p>
  </w:footnote>
  <w:footnote w:type="continuationSeparator" w:id="0">
    <w:p w14:paraId="7D2081ED" w14:textId="77777777" w:rsidR="00015EEE" w:rsidRDefault="00015EEE" w:rsidP="001D6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342CF" w14:textId="3D2A376B" w:rsidR="001D63C6" w:rsidRPr="00604BA4" w:rsidRDefault="00B22113" w:rsidP="001D63C6">
    <w:pPr>
      <w:pStyle w:val="Nagwek"/>
      <w:jc w:val="right"/>
      <w:rPr>
        <w:rFonts w:ascii="Arial Narrow" w:hAnsi="Arial Narrow"/>
        <w:sz w:val="20"/>
        <w:szCs w:val="20"/>
      </w:rPr>
    </w:pPr>
    <w:r>
      <w:rPr>
        <w:rFonts w:ascii="Arial Narrow" w:hAnsi="Arial Narrow" w:cs="Arial"/>
        <w:noProof/>
        <w:sz w:val="20"/>
        <w:szCs w:val="20"/>
      </w:rPr>
      <w:drawing>
        <wp:anchor distT="0" distB="0" distL="114300" distR="114300" simplePos="0" relativeHeight="251679744" behindDoc="1" locked="0" layoutInCell="1" allowOverlap="1" wp14:anchorId="179CDCBD" wp14:editId="60C00E1C">
          <wp:simplePos x="0" y="0"/>
          <wp:positionH relativeFrom="page">
            <wp:align>right</wp:align>
          </wp:positionH>
          <wp:positionV relativeFrom="paragraph">
            <wp:posOffset>-711835</wp:posOffset>
          </wp:positionV>
          <wp:extent cx="7552098" cy="10680700"/>
          <wp:effectExtent l="0" t="0" r="0" b="0"/>
          <wp:wrapNone/>
          <wp:docPr id="4" name="Picture 4"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98" cy="1068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6D978" w14:textId="38206E4E" w:rsidR="001D63C6" w:rsidRPr="005A0D46" w:rsidRDefault="00B22113" w:rsidP="005A0D46">
    <w:pPr>
      <w:pStyle w:val="Nagwek"/>
      <w:jc w:val="right"/>
      <w:rPr>
        <w:rFonts w:ascii="Arial Narrow" w:hAnsi="Arial Narrow"/>
      </w:rPr>
    </w:pPr>
    <w:r>
      <w:rPr>
        <w:rFonts w:ascii="Arial Narrow" w:hAnsi="Arial Narrow" w:cs="Arial"/>
        <w:noProof/>
        <w:sz w:val="20"/>
        <w:szCs w:val="20"/>
      </w:rPr>
      <w:drawing>
        <wp:anchor distT="0" distB="0" distL="114300" distR="114300" simplePos="0" relativeHeight="251677696" behindDoc="1" locked="0" layoutInCell="1" allowOverlap="1" wp14:anchorId="5D552E29" wp14:editId="2CAA2AF4">
          <wp:simplePos x="0" y="0"/>
          <wp:positionH relativeFrom="page">
            <wp:align>right</wp:align>
          </wp:positionH>
          <wp:positionV relativeFrom="paragraph">
            <wp:posOffset>-720090</wp:posOffset>
          </wp:positionV>
          <wp:extent cx="7552098" cy="10680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98" cy="1068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30DF1"/>
    <w:multiLevelType w:val="hybridMultilevel"/>
    <w:tmpl w:val="E67A9CD8"/>
    <w:lvl w:ilvl="0" w:tplc="9DAE9468">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7201492"/>
    <w:multiLevelType w:val="hybridMultilevel"/>
    <w:tmpl w:val="B2A038F8"/>
    <w:lvl w:ilvl="0" w:tplc="9DAE9468">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24F5EBF"/>
    <w:multiLevelType w:val="hybridMultilevel"/>
    <w:tmpl w:val="02408D1E"/>
    <w:lvl w:ilvl="0" w:tplc="9DAE9468">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506166E"/>
    <w:multiLevelType w:val="hybridMultilevel"/>
    <w:tmpl w:val="70F61CF8"/>
    <w:lvl w:ilvl="0" w:tplc="9DAE9468">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7EF6904"/>
    <w:multiLevelType w:val="hybridMultilevel"/>
    <w:tmpl w:val="00341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53006049">
    <w:abstractNumId w:val="4"/>
  </w:num>
  <w:num w:numId="2" w16cid:durableId="744768151">
    <w:abstractNumId w:val="0"/>
  </w:num>
  <w:num w:numId="3" w16cid:durableId="1172454308">
    <w:abstractNumId w:val="3"/>
  </w:num>
  <w:num w:numId="4" w16cid:durableId="1405251632">
    <w:abstractNumId w:val="1"/>
  </w:num>
  <w:num w:numId="5" w16cid:durableId="17918211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3C6"/>
    <w:rsid w:val="00015EEE"/>
    <w:rsid w:val="00052A95"/>
    <w:rsid w:val="000557E5"/>
    <w:rsid w:val="00092BFF"/>
    <w:rsid w:val="001D63C6"/>
    <w:rsid w:val="001F1AF8"/>
    <w:rsid w:val="0023013A"/>
    <w:rsid w:val="0032046E"/>
    <w:rsid w:val="00370296"/>
    <w:rsid w:val="0044445B"/>
    <w:rsid w:val="00491C95"/>
    <w:rsid w:val="005361DD"/>
    <w:rsid w:val="005A0D46"/>
    <w:rsid w:val="005D38D7"/>
    <w:rsid w:val="00604BA4"/>
    <w:rsid w:val="00700324"/>
    <w:rsid w:val="00766F4D"/>
    <w:rsid w:val="007B7E2E"/>
    <w:rsid w:val="0087147C"/>
    <w:rsid w:val="009F35F9"/>
    <w:rsid w:val="00A46A38"/>
    <w:rsid w:val="00B22113"/>
    <w:rsid w:val="00B3564B"/>
    <w:rsid w:val="00B62826"/>
    <w:rsid w:val="00BC1966"/>
    <w:rsid w:val="00BC702E"/>
    <w:rsid w:val="00C41FEC"/>
    <w:rsid w:val="00CC5816"/>
    <w:rsid w:val="00CE046F"/>
    <w:rsid w:val="00D54214"/>
    <w:rsid w:val="00E110E4"/>
    <w:rsid w:val="00E47C4A"/>
    <w:rsid w:val="00E54737"/>
    <w:rsid w:val="00F47631"/>
    <w:rsid w:val="00F875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28CF8"/>
  <w15:docId w15:val="{0F465145-0583-4B7F-8683-E80689E4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D63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63C6"/>
  </w:style>
  <w:style w:type="paragraph" w:styleId="Stopka">
    <w:name w:val="footer"/>
    <w:basedOn w:val="Normalny"/>
    <w:link w:val="StopkaZnak"/>
    <w:uiPriority w:val="99"/>
    <w:unhideWhenUsed/>
    <w:rsid w:val="001D63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63C6"/>
  </w:style>
  <w:style w:type="paragraph" w:styleId="Tekstdymka">
    <w:name w:val="Balloon Text"/>
    <w:basedOn w:val="Normalny"/>
    <w:link w:val="TekstdymkaZnak"/>
    <w:uiPriority w:val="99"/>
    <w:semiHidden/>
    <w:unhideWhenUsed/>
    <w:rsid w:val="005A0D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0D46"/>
    <w:rPr>
      <w:rFonts w:ascii="Tahoma" w:hAnsi="Tahoma" w:cs="Tahoma"/>
      <w:sz w:val="16"/>
      <w:szCs w:val="16"/>
    </w:rPr>
  </w:style>
  <w:style w:type="paragraph" w:styleId="Akapitzlist">
    <w:name w:val="List Paragraph"/>
    <w:basedOn w:val="Normalny"/>
    <w:uiPriority w:val="34"/>
    <w:qFormat/>
    <w:rsid w:val="00D54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871068">
      <w:bodyDiv w:val="1"/>
      <w:marLeft w:val="0"/>
      <w:marRight w:val="0"/>
      <w:marTop w:val="0"/>
      <w:marBottom w:val="0"/>
      <w:divBdr>
        <w:top w:val="none" w:sz="0" w:space="0" w:color="auto"/>
        <w:left w:val="none" w:sz="0" w:space="0" w:color="auto"/>
        <w:bottom w:val="none" w:sz="0" w:space="0" w:color="auto"/>
        <w:right w:val="none" w:sz="0" w:space="0" w:color="auto"/>
      </w:divBdr>
    </w:div>
    <w:div w:id="129139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3570E-3019-4E39-831F-A647D058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6070</Characters>
  <Application>Microsoft Office Word</Application>
  <DocSecurity>0</DocSecurity>
  <Lines>50</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Kołodziejski</dc:creator>
  <cp:lastModifiedBy>Barbara Sudoł (EQUES Investment TFI SA)</cp:lastModifiedBy>
  <cp:revision>2</cp:revision>
  <cp:lastPrinted>2016-01-05T15:39:00Z</cp:lastPrinted>
  <dcterms:created xsi:type="dcterms:W3CDTF">2023-10-26T11:29:00Z</dcterms:created>
  <dcterms:modified xsi:type="dcterms:W3CDTF">2023-10-26T11:29:00Z</dcterms:modified>
</cp:coreProperties>
</file>